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71" w:rsidRPr="00C77971" w:rsidRDefault="00C77971" w:rsidP="00C77971">
      <w:pPr>
        <w:widowControl/>
        <w:shd w:val="clear" w:color="auto" w:fill="FFFFFF"/>
        <w:spacing w:line="300" w:lineRule="exact"/>
        <w:textAlignment w:val="baseline"/>
        <w:rPr>
          <w:rFonts w:ascii="ＭＳ ゴシック" w:eastAsia="ＭＳ ゴシック" w:hAnsi="ＭＳ ゴシック" w:cs="Calibri"/>
          <w:color w:val="242424"/>
          <w:kern w:val="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 w:rsidRPr="00C77971">
        <w:rPr>
          <w:rFonts w:ascii="ＭＳ ゴシック" w:eastAsia="ＭＳ ゴシック" w:hAnsi="ＭＳ ゴシック" w:cs="Calibri" w:hint="eastAsia"/>
          <w:color w:val="242424"/>
          <w:kern w:val="0"/>
          <w:sz w:val="24"/>
          <w:szCs w:val="24"/>
          <w:bdr w:val="none" w:sz="0" w:space="0" w:color="auto" w:frame="1"/>
          <w:shd w:val="clear" w:color="auto" w:fill="FFFFFF"/>
        </w:rPr>
        <w:t>第21回日本車椅子ハンドボール競技大会の実施にかかる緩和措置</w:t>
      </w:r>
      <w:bookmarkEnd w:id="0"/>
    </w:p>
    <w:p w:rsidR="00C77971" w:rsidRPr="00C77971" w:rsidRDefault="00C77971" w:rsidP="00C77971">
      <w:pPr>
        <w:widowControl/>
        <w:shd w:val="clear" w:color="auto" w:fill="FFFFFF"/>
        <w:spacing w:line="300" w:lineRule="exact"/>
        <w:textAlignment w:val="baseline"/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</w:pPr>
    </w:p>
    <w:p w:rsidR="00C77971" w:rsidRPr="00C77971" w:rsidRDefault="00C77971" w:rsidP="00C77971">
      <w:pPr>
        <w:widowControl/>
        <w:shd w:val="clear" w:color="auto" w:fill="FFFFFF"/>
        <w:spacing w:line="300" w:lineRule="exact"/>
        <w:ind w:hanging="432"/>
        <w:textAlignment w:val="baseline"/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</w:pP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１． 競技の部 I（６人制）は</w:t>
      </w:r>
      <w:r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、「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２０２３年版競技規則</w:t>
      </w:r>
      <w:r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」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とする。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br/>
        <w:t>ただし、次のことについて緩和措置とし、今後の懸案事項とする。 </w:t>
      </w:r>
    </w:p>
    <w:p w:rsidR="00C77971" w:rsidRPr="00C77971" w:rsidRDefault="00C77971" w:rsidP="00C77971">
      <w:pPr>
        <w:widowControl/>
        <w:shd w:val="clear" w:color="auto" w:fill="FFFFFF"/>
        <w:spacing w:line="300" w:lineRule="exact"/>
        <w:ind w:hanging="420"/>
        <w:textAlignment w:val="baseline"/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</w:pP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 　(</w:t>
      </w:r>
      <w:r w:rsidRPr="00C77971">
        <w:rPr>
          <w:rFonts w:ascii="ＭＳ 明朝" w:eastAsia="ＭＳ 明朝" w:hAnsi="ＭＳ 明朝" w:cs="Calibri"/>
          <w:color w:val="242424"/>
          <w:kern w:val="0"/>
          <w:szCs w:val="21"/>
          <w:bdr w:val="none" w:sz="0" w:space="0" w:color="auto" w:frame="1"/>
          <w:shd w:val="clear" w:color="auto" w:fill="FFFFFF"/>
        </w:rPr>
        <w:t>1)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 xml:space="preserve"> 使用するボールは、従前のソフティボールとする。 </w:t>
      </w:r>
    </w:p>
    <w:p w:rsidR="00C77971" w:rsidRPr="00C77971" w:rsidRDefault="00C77971" w:rsidP="00C77971">
      <w:pPr>
        <w:widowControl/>
        <w:shd w:val="clear" w:color="auto" w:fill="FFFFFF"/>
        <w:spacing w:line="300" w:lineRule="exact"/>
        <w:ind w:left="-315" w:firstLineChars="100" w:firstLine="210"/>
        <w:textAlignment w:val="baseline"/>
        <w:rPr>
          <w:rFonts w:ascii="ＭＳ 明朝" w:eastAsia="ＭＳ 明朝" w:hAnsi="ＭＳ 明朝" w:cs="Calibri"/>
          <w:color w:val="242424"/>
          <w:kern w:val="0"/>
          <w:szCs w:val="21"/>
          <w:bdr w:val="none" w:sz="0" w:space="0" w:color="auto" w:frame="1"/>
          <w:shd w:val="clear" w:color="auto" w:fill="FFFFFF"/>
        </w:rPr>
      </w:pP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(</w:t>
      </w:r>
      <w:r w:rsidRPr="00C77971">
        <w:rPr>
          <w:rFonts w:ascii="ＭＳ 明朝" w:eastAsia="ＭＳ 明朝" w:hAnsi="ＭＳ 明朝" w:cs="Calibri"/>
          <w:color w:val="242424"/>
          <w:kern w:val="0"/>
          <w:szCs w:val="21"/>
          <w:bdr w:val="none" w:sz="0" w:space="0" w:color="auto" w:frame="1"/>
          <w:shd w:val="clear" w:color="auto" w:fill="FFFFFF"/>
        </w:rPr>
        <w:t xml:space="preserve">2) 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プレーヤーのクラス分け及び持ち点制度は適用せず、コート内に女性又は障がい者を</w:t>
      </w:r>
    </w:p>
    <w:p w:rsidR="00C77971" w:rsidRPr="00C77971" w:rsidRDefault="00C77971" w:rsidP="00C77971">
      <w:pPr>
        <w:widowControl/>
        <w:shd w:val="clear" w:color="auto" w:fill="FFFFFF"/>
        <w:spacing w:line="300" w:lineRule="exact"/>
        <w:ind w:left="-315" w:firstLineChars="300" w:firstLine="630"/>
        <w:textAlignment w:val="baseline"/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</w:pPr>
      <w:r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１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名以上含んでいればよい。 </w:t>
      </w:r>
    </w:p>
    <w:p w:rsidR="00C77971" w:rsidRPr="00C77971" w:rsidRDefault="00C77971" w:rsidP="00C77971">
      <w:pPr>
        <w:widowControl/>
        <w:shd w:val="clear" w:color="auto" w:fill="FFFFFF"/>
        <w:spacing w:line="300" w:lineRule="exact"/>
        <w:ind w:left="-315" w:firstLineChars="100" w:firstLine="210"/>
        <w:textAlignment w:val="baseline"/>
        <w:rPr>
          <w:rFonts w:ascii="ＭＳ 明朝" w:eastAsia="ＭＳ 明朝" w:hAnsi="ＭＳ 明朝" w:cs="Calibri"/>
          <w:color w:val="242424"/>
          <w:kern w:val="0"/>
          <w:szCs w:val="21"/>
          <w:bdr w:val="none" w:sz="0" w:space="0" w:color="auto" w:frame="1"/>
          <w:shd w:val="clear" w:color="auto" w:fill="FFFFFF"/>
        </w:rPr>
      </w:pP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(</w:t>
      </w:r>
      <w:r w:rsidRPr="00C77971">
        <w:rPr>
          <w:rFonts w:ascii="ＭＳ 明朝" w:eastAsia="ＭＳ 明朝" w:hAnsi="ＭＳ 明朝" w:cs="Calibri"/>
          <w:color w:val="242424"/>
          <w:kern w:val="0"/>
          <w:szCs w:val="21"/>
          <w:bdr w:val="none" w:sz="0" w:space="0" w:color="auto" w:frame="1"/>
          <w:shd w:val="clear" w:color="auto" w:fill="FFFFFF"/>
        </w:rPr>
        <w:t>3)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 チーム編成は、参加最低人数を設定せず、従前どおり障</w:t>
      </w:r>
      <w:r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がい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者または女子１名を含むこ</w:t>
      </w:r>
    </w:p>
    <w:p w:rsidR="00C77971" w:rsidRPr="00C77971" w:rsidRDefault="00C77971" w:rsidP="00C77971">
      <w:pPr>
        <w:widowControl/>
        <w:shd w:val="clear" w:color="auto" w:fill="FFFFFF"/>
        <w:spacing w:line="300" w:lineRule="exact"/>
        <w:ind w:left="-315" w:firstLineChars="300" w:firstLine="630"/>
        <w:textAlignment w:val="baseline"/>
        <w:rPr>
          <w:rFonts w:ascii="ＭＳ 明朝" w:eastAsia="ＭＳ 明朝" w:hAnsi="ＭＳ 明朝" w:cs="Calibri"/>
          <w:color w:val="242424"/>
          <w:kern w:val="0"/>
          <w:szCs w:val="21"/>
          <w:bdr w:val="none" w:sz="0" w:space="0" w:color="auto" w:frame="1"/>
          <w:shd w:val="clear" w:color="auto" w:fill="FFFFFF"/>
        </w:rPr>
      </w:pP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ととする。 </w:t>
      </w:r>
    </w:p>
    <w:p w:rsidR="00C77971" w:rsidRPr="00C77971" w:rsidRDefault="00C77971" w:rsidP="00C77971">
      <w:pPr>
        <w:widowControl/>
        <w:shd w:val="clear" w:color="auto" w:fill="FFFFFF"/>
        <w:spacing w:line="300" w:lineRule="exact"/>
        <w:ind w:left="-315" w:firstLineChars="100" w:firstLine="210"/>
        <w:textAlignment w:val="baseline"/>
        <w:rPr>
          <w:rFonts w:ascii="ＭＳ 明朝" w:eastAsia="ＭＳ 明朝" w:hAnsi="ＭＳ 明朝" w:cs="Calibri"/>
          <w:color w:val="242424"/>
          <w:kern w:val="0"/>
          <w:szCs w:val="21"/>
          <w:bdr w:val="none" w:sz="0" w:space="0" w:color="auto" w:frame="1"/>
          <w:shd w:val="clear" w:color="auto" w:fill="FFFFFF"/>
        </w:rPr>
      </w:pP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(</w:t>
      </w:r>
      <w:r w:rsidRPr="00C77971">
        <w:rPr>
          <w:rFonts w:ascii="ＭＳ 明朝" w:eastAsia="ＭＳ 明朝" w:hAnsi="ＭＳ 明朝" w:cs="Calibri"/>
          <w:color w:val="242424"/>
          <w:kern w:val="0"/>
          <w:szCs w:val="21"/>
          <w:bdr w:val="none" w:sz="0" w:space="0" w:color="auto" w:frame="1"/>
          <w:shd w:val="clear" w:color="auto" w:fill="FFFFFF"/>
        </w:rPr>
        <w:t>4)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 xml:space="preserve"> 車いす前方の水平バーの設置は任意とする。 </w:t>
      </w:r>
    </w:p>
    <w:p w:rsidR="00C77971" w:rsidRPr="00C77971" w:rsidRDefault="00C77971" w:rsidP="00C77971">
      <w:pPr>
        <w:widowControl/>
        <w:shd w:val="clear" w:color="auto" w:fill="FFFFFF"/>
        <w:spacing w:line="300" w:lineRule="exact"/>
        <w:ind w:left="-315" w:firstLineChars="100" w:firstLine="210"/>
        <w:textAlignment w:val="baseline"/>
        <w:rPr>
          <w:rFonts w:ascii="ＭＳ 明朝" w:eastAsia="ＭＳ 明朝" w:hAnsi="ＭＳ 明朝" w:cs="Calibri"/>
          <w:color w:val="242424"/>
          <w:kern w:val="0"/>
          <w:szCs w:val="21"/>
          <w:bdr w:val="none" w:sz="0" w:space="0" w:color="auto" w:frame="1"/>
          <w:shd w:val="clear" w:color="auto" w:fill="FFFFFF"/>
        </w:rPr>
      </w:pP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(</w:t>
      </w:r>
      <w:r w:rsidRPr="00C77971">
        <w:rPr>
          <w:rFonts w:ascii="ＭＳ 明朝" w:eastAsia="ＭＳ 明朝" w:hAnsi="ＭＳ 明朝" w:cs="Calibri"/>
          <w:color w:val="242424"/>
          <w:kern w:val="0"/>
          <w:szCs w:val="21"/>
          <w:bdr w:val="none" w:sz="0" w:space="0" w:color="auto" w:frame="1"/>
          <w:shd w:val="clear" w:color="auto" w:fill="FFFFFF"/>
        </w:rPr>
        <w:t xml:space="preserve">5) 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 xml:space="preserve">日常使用している眼鏡の装着を認める。  </w:t>
      </w:r>
    </w:p>
    <w:p w:rsidR="00C77971" w:rsidRPr="00C77971" w:rsidRDefault="00C77971" w:rsidP="00C77971">
      <w:pPr>
        <w:widowControl/>
        <w:shd w:val="clear" w:color="auto" w:fill="FFFFFF"/>
        <w:spacing w:line="300" w:lineRule="exact"/>
        <w:ind w:left="-315" w:firstLineChars="100" w:firstLine="210"/>
        <w:textAlignment w:val="baseline"/>
        <w:rPr>
          <w:rFonts w:ascii="ＭＳ 明朝" w:eastAsia="ＭＳ 明朝" w:hAnsi="ＭＳ 明朝" w:cs="Calibri"/>
          <w:color w:val="242424"/>
          <w:kern w:val="0"/>
          <w:szCs w:val="21"/>
          <w:bdr w:val="none" w:sz="0" w:space="0" w:color="auto" w:frame="1"/>
          <w:shd w:val="clear" w:color="auto" w:fill="FFFFFF"/>
        </w:rPr>
      </w:pP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(</w:t>
      </w:r>
      <w:r w:rsidRPr="00C77971">
        <w:rPr>
          <w:rFonts w:ascii="ＭＳ 明朝" w:eastAsia="ＭＳ 明朝" w:hAnsi="ＭＳ 明朝" w:cs="Calibri"/>
          <w:color w:val="242424"/>
          <w:kern w:val="0"/>
          <w:szCs w:val="21"/>
          <w:bdr w:val="none" w:sz="0" w:space="0" w:color="auto" w:frame="1"/>
          <w:shd w:val="clear" w:color="auto" w:fill="FFFFFF"/>
        </w:rPr>
        <w:t xml:space="preserve">6) 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指に柔らかい素材の粘着テープの使用を認める。 </w:t>
      </w:r>
    </w:p>
    <w:p w:rsidR="00C77971" w:rsidRPr="00C77971" w:rsidRDefault="00C77971" w:rsidP="00C77971">
      <w:pPr>
        <w:widowControl/>
        <w:shd w:val="clear" w:color="auto" w:fill="FFFFFF"/>
        <w:spacing w:line="300" w:lineRule="exact"/>
        <w:ind w:left="-315" w:firstLineChars="100" w:firstLine="210"/>
        <w:textAlignment w:val="baseline"/>
        <w:rPr>
          <w:rFonts w:ascii="ＭＳ 明朝" w:eastAsia="ＭＳ 明朝" w:hAnsi="ＭＳ 明朝" w:cs="Calibri"/>
          <w:color w:val="242424"/>
          <w:kern w:val="0"/>
          <w:szCs w:val="21"/>
          <w:bdr w:val="none" w:sz="0" w:space="0" w:color="auto" w:frame="1"/>
          <w:shd w:val="clear" w:color="auto" w:fill="FFFFFF"/>
        </w:rPr>
      </w:pP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(</w:t>
      </w:r>
      <w:r w:rsidRPr="00C77971">
        <w:rPr>
          <w:rFonts w:ascii="ＭＳ 明朝" w:eastAsia="ＭＳ 明朝" w:hAnsi="ＭＳ 明朝" w:cs="Calibri"/>
          <w:color w:val="242424"/>
          <w:kern w:val="0"/>
          <w:szCs w:val="21"/>
          <w:bdr w:val="none" w:sz="0" w:space="0" w:color="auto" w:frame="1"/>
          <w:shd w:val="clear" w:color="auto" w:fill="FFFFFF"/>
        </w:rPr>
        <w:t>7)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 xml:space="preserve"> 競技の安全性を担保するため、フロントピックアップ、５秒ルールを従前どおり適用</w:t>
      </w:r>
    </w:p>
    <w:p w:rsidR="00C77971" w:rsidRPr="00C77971" w:rsidRDefault="00C77971" w:rsidP="00C77971">
      <w:pPr>
        <w:widowControl/>
        <w:shd w:val="clear" w:color="auto" w:fill="FFFFFF"/>
        <w:spacing w:line="300" w:lineRule="exact"/>
        <w:ind w:left="-315" w:firstLineChars="300" w:firstLine="630"/>
        <w:textAlignment w:val="baseline"/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</w:pP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する。 </w:t>
      </w:r>
    </w:p>
    <w:p w:rsidR="00C77971" w:rsidRPr="00C77971" w:rsidRDefault="00C77971" w:rsidP="00C77971">
      <w:pPr>
        <w:widowControl/>
        <w:shd w:val="clear" w:color="auto" w:fill="FFFFFF"/>
        <w:spacing w:line="300" w:lineRule="exact"/>
        <w:ind w:hanging="432"/>
        <w:textAlignment w:val="baseline"/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</w:pP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２． 競技の部 II（４人制）は、</w:t>
      </w:r>
      <w:r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「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２０２３年版競技規則</w:t>
      </w:r>
      <w:r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」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とし、ボールは</w:t>
      </w:r>
      <w:r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２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号球を使用する。 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br/>
        <w:t>ただし、次のことについて緩和措置とし、今後の懸案事項とする。 </w:t>
      </w:r>
    </w:p>
    <w:p w:rsidR="00C77971" w:rsidRDefault="00C77971" w:rsidP="00C77971">
      <w:pPr>
        <w:widowControl/>
        <w:shd w:val="clear" w:color="auto" w:fill="FFFFFF"/>
        <w:spacing w:line="300" w:lineRule="exact"/>
        <w:ind w:hanging="420"/>
        <w:textAlignment w:val="baseline"/>
        <w:rPr>
          <w:rFonts w:ascii="ＭＳ 明朝" w:eastAsia="ＭＳ 明朝" w:hAnsi="ＭＳ 明朝" w:cs="Calibri"/>
          <w:color w:val="242424"/>
          <w:kern w:val="0"/>
          <w:szCs w:val="21"/>
          <w:bdr w:val="none" w:sz="0" w:space="0" w:color="auto" w:frame="1"/>
          <w:shd w:val="clear" w:color="auto" w:fill="FFFFFF"/>
        </w:rPr>
      </w:pP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ＭＳ 明朝" w:eastAsia="ＭＳ 明朝" w:hAnsi="ＭＳ 明朝" w:cs="Calibri"/>
          <w:color w:val="242424"/>
          <w:kern w:val="0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 xml:space="preserve">　・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大会への参加を容易にするため、チーム編成は、プレーヤーのポイント制及び最低人数</w:t>
      </w:r>
    </w:p>
    <w:p w:rsidR="00C77971" w:rsidRPr="00C77971" w:rsidRDefault="00C77971" w:rsidP="00C77971">
      <w:pPr>
        <w:widowControl/>
        <w:shd w:val="clear" w:color="auto" w:fill="FFFFFF"/>
        <w:spacing w:line="300" w:lineRule="exact"/>
        <w:ind w:leftChars="50" w:left="105" w:firstLineChars="50" w:firstLine="105"/>
        <w:textAlignment w:val="baseline"/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</w:pP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の設定をせず、女子障がい者参加の義務づけを解除する。 </w:t>
      </w:r>
    </w:p>
    <w:p w:rsidR="00C77971" w:rsidRPr="00C77971" w:rsidRDefault="00C77971" w:rsidP="00C77971">
      <w:pPr>
        <w:widowControl/>
        <w:shd w:val="clear" w:color="auto" w:fill="FFFFFF"/>
        <w:spacing w:line="300" w:lineRule="exact"/>
        <w:ind w:hanging="432"/>
        <w:textAlignment w:val="baseline"/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</w:pP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３．フレンドリー部門は、経験の</w:t>
      </w:r>
      <w:r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な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い障がい者も競技を楽しめるように</w:t>
      </w:r>
      <w:r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「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京都ルール</w:t>
      </w:r>
      <w:r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」</w:t>
      </w:r>
      <w:r w:rsidRPr="00C77971">
        <w:rPr>
          <w:rFonts w:ascii="ＭＳ 明朝" w:eastAsia="ＭＳ 明朝" w:hAnsi="ＭＳ 明朝" w:cs="Calibri" w:hint="eastAsia"/>
          <w:color w:val="242424"/>
          <w:kern w:val="0"/>
          <w:szCs w:val="21"/>
          <w:bdr w:val="none" w:sz="0" w:space="0" w:color="auto" w:frame="1"/>
          <w:shd w:val="clear" w:color="auto" w:fill="FFFFFF"/>
        </w:rPr>
        <w:t>を基本としたルールで実施する。 </w:t>
      </w:r>
    </w:p>
    <w:p w:rsidR="0086287E" w:rsidRPr="00C77971" w:rsidRDefault="0086287E"/>
    <w:sectPr w:rsidR="0086287E" w:rsidRPr="00C77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71"/>
    <w:rsid w:val="0086287E"/>
    <w:rsid w:val="00C7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4B3C3"/>
  <w15:chartTrackingRefBased/>
  <w15:docId w15:val="{49E55BEB-0219-45CA-9BB8-30C94943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7805">
                      <w:marLeft w:val="4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687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449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307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2972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118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79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3804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03218">
                      <w:marLeft w:val="4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0549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4595">
                      <w:marLeft w:val="4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昭博</dc:creator>
  <cp:keywords/>
  <dc:description/>
  <cp:lastModifiedBy>中島　昭博</cp:lastModifiedBy>
  <cp:revision>2</cp:revision>
  <dcterms:created xsi:type="dcterms:W3CDTF">2023-09-12T06:06:00Z</dcterms:created>
  <dcterms:modified xsi:type="dcterms:W3CDTF">2023-09-12T06:06:00Z</dcterms:modified>
</cp:coreProperties>
</file>